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4E" w:rsidRDefault="009C394E" w:rsidP="009C394E">
      <w:pPr>
        <w:pStyle w:val="Default"/>
      </w:pPr>
      <w:bookmarkStart w:id="0" w:name="_GoBack"/>
      <w:bookmarkEnd w:id="0"/>
    </w:p>
    <w:p w:rsidR="009C394E" w:rsidRDefault="009C394E" w:rsidP="009C394E">
      <w:pPr>
        <w:pStyle w:val="Default"/>
        <w:jc w:val="center"/>
        <w:rPr>
          <w:sz w:val="36"/>
          <w:szCs w:val="36"/>
        </w:rPr>
      </w:pPr>
      <w:r>
        <w:rPr>
          <w:sz w:val="36"/>
          <w:szCs w:val="36"/>
        </w:rPr>
        <w:t>Worth</w:t>
      </w:r>
      <w:r w:rsidRPr="009C394E">
        <w:rPr>
          <w:sz w:val="36"/>
          <w:szCs w:val="36"/>
        </w:rPr>
        <w:t xml:space="preserve"> V</w:t>
      </w:r>
      <w:r>
        <w:rPr>
          <w:sz w:val="36"/>
          <w:szCs w:val="36"/>
        </w:rPr>
        <w:t>alley Primary School</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r w:rsidRPr="00514E63">
        <w:rPr>
          <w:noProof/>
          <w:lang w:eastAsia="en-GB"/>
        </w:rPr>
        <w:drawing>
          <wp:inline distT="0" distB="0" distL="0" distR="0" wp14:anchorId="5183B3DD" wp14:editId="44980831">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9C394E" w:rsidRPr="007C66DB" w:rsidRDefault="009C394E" w:rsidP="009C394E">
      <w:pPr>
        <w:jc w:val="center"/>
        <w:rPr>
          <w:rFonts w:ascii="Brush Script MT" w:hAnsi="Brush Script MT" w:cs="Aharoni"/>
          <w:color w:val="17365D"/>
          <w:sz w:val="28"/>
          <w:szCs w:val="28"/>
        </w:rPr>
      </w:pPr>
      <w:proofErr w:type="gramStart"/>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elieve</w:t>
      </w:r>
      <w:proofErr w:type="gramEnd"/>
      <w:r>
        <w:rPr>
          <w:rFonts w:ascii="Brush Script MT" w:hAnsi="Brush Script MT" w:cs="Aharoni"/>
          <w:color w:val="17365D"/>
          <w:sz w:val="28"/>
          <w:szCs w:val="28"/>
        </w:rPr>
        <w:t xml:space="preser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9C394E" w:rsidP="009C394E">
      <w:pPr>
        <w:pStyle w:val="Default"/>
        <w:jc w:val="center"/>
        <w:rPr>
          <w:sz w:val="36"/>
          <w:szCs w:val="36"/>
        </w:rPr>
      </w:pPr>
    </w:p>
    <w:p w:rsidR="009C394E" w:rsidRDefault="00747524" w:rsidP="009C394E">
      <w:pPr>
        <w:pStyle w:val="Default"/>
        <w:jc w:val="center"/>
        <w:rPr>
          <w:sz w:val="36"/>
          <w:szCs w:val="36"/>
        </w:rPr>
      </w:pPr>
      <w:r>
        <w:rPr>
          <w:sz w:val="36"/>
          <w:szCs w:val="36"/>
        </w:rPr>
        <w:t>Charging a</w:t>
      </w:r>
      <w:r w:rsidR="009048ED">
        <w:rPr>
          <w:sz w:val="36"/>
          <w:szCs w:val="36"/>
        </w:rPr>
        <w:t>nd Remissions Policy</w:t>
      </w: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36"/>
          <w:szCs w:val="36"/>
        </w:rPr>
      </w:pPr>
    </w:p>
    <w:p w:rsidR="009C394E" w:rsidRDefault="009C394E" w:rsidP="009C394E">
      <w:pPr>
        <w:pStyle w:val="Default"/>
        <w:rPr>
          <w:sz w:val="23"/>
          <w:szCs w:val="23"/>
        </w:rPr>
      </w:pPr>
      <w:r>
        <w:rPr>
          <w:sz w:val="23"/>
          <w:szCs w:val="23"/>
        </w:rPr>
        <w:t xml:space="preserve">Adopted by the Governing Body: </w:t>
      </w:r>
      <w:r w:rsidR="00283742">
        <w:rPr>
          <w:sz w:val="23"/>
          <w:szCs w:val="23"/>
        </w:rPr>
        <w:t>Febr</w:t>
      </w:r>
      <w:r w:rsidR="009048ED">
        <w:rPr>
          <w:sz w:val="23"/>
          <w:szCs w:val="23"/>
        </w:rPr>
        <w:t>uary 2018</w:t>
      </w:r>
    </w:p>
    <w:p w:rsidR="009C394E" w:rsidRDefault="009C394E" w:rsidP="009C394E">
      <w:pPr>
        <w:pStyle w:val="Default"/>
        <w:rPr>
          <w:sz w:val="23"/>
          <w:szCs w:val="23"/>
        </w:rPr>
      </w:pPr>
      <w:r>
        <w:rPr>
          <w:sz w:val="23"/>
          <w:szCs w:val="23"/>
        </w:rPr>
        <w:t xml:space="preserve">Chair of Governing Body: </w:t>
      </w:r>
      <w:r w:rsidR="00CA248B">
        <w:rPr>
          <w:sz w:val="23"/>
          <w:szCs w:val="23"/>
        </w:rPr>
        <w:t>Sam Quigley</w:t>
      </w:r>
    </w:p>
    <w:p w:rsidR="00B21DFE" w:rsidRDefault="009C394E" w:rsidP="009C394E">
      <w:pPr>
        <w:rPr>
          <w:sz w:val="23"/>
          <w:szCs w:val="23"/>
        </w:rPr>
      </w:pPr>
      <w:proofErr w:type="spellStart"/>
      <w:r>
        <w:rPr>
          <w:sz w:val="23"/>
          <w:szCs w:val="23"/>
        </w:rPr>
        <w:t>Headteacher</w:t>
      </w:r>
      <w:proofErr w:type="spellEnd"/>
      <w:r>
        <w:rPr>
          <w:sz w:val="23"/>
          <w:szCs w:val="23"/>
        </w:rPr>
        <w:t xml:space="preserve">: Mrs R </w:t>
      </w:r>
      <w:proofErr w:type="spellStart"/>
      <w:r>
        <w:rPr>
          <w:sz w:val="23"/>
          <w:szCs w:val="23"/>
        </w:rPr>
        <w:t>Aasim</w:t>
      </w:r>
      <w:proofErr w:type="spellEnd"/>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6820E3" w:rsidRDefault="006820E3" w:rsidP="009C394E">
      <w:pPr>
        <w:rPr>
          <w:sz w:val="23"/>
          <w:szCs w:val="23"/>
        </w:rPr>
      </w:pPr>
    </w:p>
    <w:p w:rsidR="00D42FCD" w:rsidRDefault="00D42FCD" w:rsidP="006820E3">
      <w:pPr>
        <w:pStyle w:val="Default"/>
        <w:jc w:val="both"/>
        <w:rPr>
          <w:rFonts w:eastAsia="Times New Roman"/>
          <w:color w:val="auto"/>
          <w:sz w:val="23"/>
          <w:szCs w:val="23"/>
        </w:rPr>
      </w:pPr>
    </w:p>
    <w:p w:rsidR="006820E3" w:rsidRDefault="006820E3" w:rsidP="009C394E"/>
    <w:p w:rsidR="009048ED" w:rsidRDefault="009048ED" w:rsidP="009048ED">
      <w:pPr>
        <w:pStyle w:val="Default"/>
      </w:pPr>
    </w:p>
    <w:p w:rsidR="009048ED" w:rsidRDefault="009048ED" w:rsidP="009048ED">
      <w:pPr>
        <w:pStyle w:val="Default"/>
        <w:rPr>
          <w:sz w:val="22"/>
          <w:szCs w:val="22"/>
        </w:rPr>
      </w:pPr>
      <w:r>
        <w:rPr>
          <w:b/>
          <w:bCs/>
          <w:sz w:val="22"/>
          <w:szCs w:val="22"/>
        </w:rPr>
        <w:t xml:space="preserve">Introduction </w:t>
      </w:r>
    </w:p>
    <w:p w:rsidR="009048ED" w:rsidRDefault="009048ED" w:rsidP="009048ED">
      <w:pPr>
        <w:pStyle w:val="Default"/>
        <w:rPr>
          <w:sz w:val="22"/>
          <w:szCs w:val="22"/>
        </w:rPr>
      </w:pPr>
      <w:r>
        <w:rPr>
          <w:sz w:val="22"/>
          <w:szCs w:val="22"/>
        </w:rPr>
        <w:t xml:space="preserve">The purpose of the policy is to ensure that there is clarity over those items which the school will provide free of charge and for those items where there may be a charge. </w:t>
      </w:r>
    </w:p>
    <w:p w:rsidR="009048ED" w:rsidRDefault="009048ED" w:rsidP="009048ED">
      <w:pPr>
        <w:pStyle w:val="Default"/>
        <w:rPr>
          <w:sz w:val="22"/>
          <w:szCs w:val="22"/>
        </w:rPr>
      </w:pPr>
      <w:r>
        <w:rPr>
          <w:sz w:val="22"/>
          <w:szCs w:val="22"/>
        </w:rPr>
        <w:t>The policy has been informed by the Local Authority’s policy and the Department for Education (</w:t>
      </w:r>
      <w:proofErr w:type="spellStart"/>
      <w:r>
        <w:rPr>
          <w:sz w:val="22"/>
          <w:szCs w:val="22"/>
        </w:rPr>
        <w:t>DofE</w:t>
      </w:r>
      <w:proofErr w:type="spellEnd"/>
      <w:r>
        <w:rPr>
          <w:sz w:val="22"/>
          <w:szCs w:val="22"/>
        </w:rPr>
        <w:t>) guidance</w:t>
      </w:r>
      <w:r>
        <w:rPr>
          <w:i/>
          <w:iCs/>
          <w:sz w:val="22"/>
          <w:szCs w:val="22"/>
        </w:rPr>
        <w:t xml:space="preserve">. </w:t>
      </w:r>
    </w:p>
    <w:p w:rsidR="004C0CD0" w:rsidRDefault="004C0CD0" w:rsidP="009048ED">
      <w:pPr>
        <w:pStyle w:val="Default"/>
        <w:rPr>
          <w:b/>
          <w:bCs/>
          <w:sz w:val="22"/>
          <w:szCs w:val="22"/>
        </w:rPr>
      </w:pPr>
    </w:p>
    <w:p w:rsidR="009048ED" w:rsidRDefault="009048ED" w:rsidP="009048ED">
      <w:pPr>
        <w:pStyle w:val="Default"/>
        <w:rPr>
          <w:sz w:val="22"/>
          <w:szCs w:val="22"/>
        </w:rPr>
      </w:pPr>
      <w:r>
        <w:rPr>
          <w:b/>
          <w:bCs/>
          <w:sz w:val="22"/>
          <w:szCs w:val="22"/>
        </w:rPr>
        <w:t xml:space="preserve">Definition </w:t>
      </w:r>
    </w:p>
    <w:p w:rsidR="004C0CD0" w:rsidRDefault="009048ED" w:rsidP="009048ED">
      <w:pPr>
        <w:pStyle w:val="Default"/>
        <w:rPr>
          <w:sz w:val="22"/>
          <w:szCs w:val="22"/>
        </w:rPr>
      </w:pPr>
      <w:r>
        <w:rPr>
          <w:sz w:val="22"/>
          <w:szCs w:val="22"/>
        </w:rPr>
        <w:t xml:space="preserve"> </w:t>
      </w:r>
    </w:p>
    <w:p w:rsidR="004C0CD0" w:rsidRDefault="004C0CD0" w:rsidP="009048ED">
      <w:pPr>
        <w:pStyle w:val="Default"/>
        <w:rPr>
          <w:sz w:val="22"/>
          <w:szCs w:val="22"/>
        </w:rPr>
      </w:pPr>
      <w:r>
        <w:rPr>
          <w:sz w:val="22"/>
          <w:szCs w:val="22"/>
        </w:rPr>
        <w:t>The school day is defined as:-</w:t>
      </w:r>
    </w:p>
    <w:p w:rsidR="004C0CD0" w:rsidRDefault="004C0CD0" w:rsidP="009048ED">
      <w:pPr>
        <w:pStyle w:val="Default"/>
        <w:rPr>
          <w:sz w:val="22"/>
          <w:szCs w:val="22"/>
        </w:rPr>
      </w:pPr>
    </w:p>
    <w:tbl>
      <w:tblPr>
        <w:tblStyle w:val="LightShading1"/>
        <w:tblW w:w="0" w:type="auto"/>
        <w:tblLook w:val="04A0" w:firstRow="1" w:lastRow="0" w:firstColumn="1" w:lastColumn="0" w:noHBand="0" w:noVBand="1"/>
      </w:tblPr>
      <w:tblGrid>
        <w:gridCol w:w="3018"/>
        <w:gridCol w:w="3004"/>
        <w:gridCol w:w="3004"/>
      </w:tblGrid>
      <w:tr w:rsidR="004C0CD0" w:rsidTr="004C0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hideMark/>
          </w:tcPr>
          <w:p w:rsidR="004C0CD0" w:rsidRDefault="004C0CD0">
            <w:pPr>
              <w:rPr>
                <w:szCs w:val="22"/>
              </w:rPr>
            </w:pPr>
            <w:r>
              <w:t>NURSERY</w:t>
            </w:r>
          </w:p>
        </w:tc>
        <w:tc>
          <w:tcPr>
            <w:tcW w:w="3081" w:type="dxa"/>
            <w:hideMark/>
          </w:tcPr>
          <w:p w:rsidR="004C0CD0" w:rsidRDefault="004C0CD0">
            <w:pPr>
              <w:cnfStyle w:val="100000000000" w:firstRow="1" w:lastRow="0" w:firstColumn="0" w:lastColumn="0" w:oddVBand="0" w:evenVBand="0" w:oddHBand="0" w:evenHBand="0" w:firstRowFirstColumn="0" w:firstRowLastColumn="0" w:lastRowFirstColumn="0" w:lastRowLastColumn="0"/>
            </w:pPr>
            <w:r>
              <w:t>Start Time</w:t>
            </w:r>
          </w:p>
        </w:tc>
        <w:tc>
          <w:tcPr>
            <w:tcW w:w="3081" w:type="dxa"/>
            <w:hideMark/>
          </w:tcPr>
          <w:p w:rsidR="004C0CD0" w:rsidRDefault="004C0CD0">
            <w:pPr>
              <w:cnfStyle w:val="100000000000" w:firstRow="1" w:lastRow="0" w:firstColumn="0" w:lastColumn="0" w:oddVBand="0" w:evenVBand="0" w:oddHBand="0" w:evenHBand="0" w:firstRowFirstColumn="0" w:firstRowLastColumn="0" w:lastRowFirstColumn="0" w:lastRowLastColumn="0"/>
            </w:pPr>
            <w:r>
              <w:t>Finish Time</w:t>
            </w:r>
          </w:p>
        </w:tc>
      </w:tr>
      <w:tr w:rsidR="004C0CD0" w:rsidTr="004C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il"/>
              <w:bottom w:val="nil"/>
            </w:tcBorders>
            <w:hideMark/>
          </w:tcPr>
          <w:p w:rsidR="004C0CD0" w:rsidRDefault="004C0CD0">
            <w:r>
              <w:t>Morning Session</w:t>
            </w:r>
          </w:p>
        </w:tc>
        <w:tc>
          <w:tcPr>
            <w:tcW w:w="3081"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08:30*</w:t>
            </w:r>
          </w:p>
        </w:tc>
        <w:tc>
          <w:tcPr>
            <w:tcW w:w="3081"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11:30</w:t>
            </w:r>
          </w:p>
        </w:tc>
      </w:tr>
      <w:tr w:rsidR="004C0CD0" w:rsidTr="004C0CD0">
        <w:tc>
          <w:tcPr>
            <w:cnfStyle w:val="001000000000" w:firstRow="0" w:lastRow="0" w:firstColumn="1" w:lastColumn="0" w:oddVBand="0" w:evenVBand="0" w:oddHBand="0" w:evenHBand="0" w:firstRowFirstColumn="0" w:firstRowLastColumn="0" w:lastRowFirstColumn="0" w:lastRowLastColumn="0"/>
            <w:tcW w:w="3080" w:type="dxa"/>
            <w:tcBorders>
              <w:top w:val="nil"/>
              <w:left w:val="nil"/>
              <w:bottom w:val="nil"/>
              <w:right w:val="nil"/>
            </w:tcBorders>
          </w:tcPr>
          <w:p w:rsidR="004C0CD0" w:rsidRDefault="004C0CD0"/>
        </w:tc>
        <w:tc>
          <w:tcPr>
            <w:tcW w:w="3081"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3081"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r>
      <w:tr w:rsidR="004C0CD0" w:rsidTr="004C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il"/>
              <w:bottom w:val="single" w:sz="8" w:space="0" w:color="000000" w:themeColor="text1"/>
            </w:tcBorders>
            <w:hideMark/>
          </w:tcPr>
          <w:p w:rsidR="004C0CD0" w:rsidRDefault="004C0CD0">
            <w:r>
              <w:t>Afternoon Session</w:t>
            </w:r>
          </w:p>
        </w:tc>
        <w:tc>
          <w:tcPr>
            <w:tcW w:w="3081" w:type="dxa"/>
            <w:tcBorders>
              <w:top w:val="nil"/>
              <w:bottom w:val="single" w:sz="8" w:space="0" w:color="000000" w:themeColor="text1"/>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12:15</w:t>
            </w:r>
          </w:p>
        </w:tc>
        <w:tc>
          <w:tcPr>
            <w:tcW w:w="3081" w:type="dxa"/>
            <w:tcBorders>
              <w:top w:val="nil"/>
              <w:bottom w:val="single" w:sz="8" w:space="0" w:color="000000" w:themeColor="text1"/>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15:15</w:t>
            </w:r>
          </w:p>
        </w:tc>
      </w:tr>
    </w:tbl>
    <w:p w:rsidR="004C0CD0" w:rsidRDefault="004C0CD0" w:rsidP="004C0CD0">
      <w:pPr>
        <w:rPr>
          <w:szCs w:val="22"/>
        </w:rPr>
      </w:pPr>
      <w:r>
        <w:t>* Flexible start time from 08:30 to 08:45</w:t>
      </w:r>
    </w:p>
    <w:p w:rsidR="004C0CD0" w:rsidRDefault="004C0CD0" w:rsidP="004C0CD0"/>
    <w:tbl>
      <w:tblPr>
        <w:tblStyle w:val="LightShading1"/>
        <w:tblW w:w="0" w:type="auto"/>
        <w:tblLook w:val="04A0" w:firstRow="1" w:lastRow="0" w:firstColumn="1" w:lastColumn="0" w:noHBand="0" w:noVBand="1"/>
      </w:tblPr>
      <w:tblGrid>
        <w:gridCol w:w="1822"/>
        <w:gridCol w:w="1798"/>
        <w:gridCol w:w="1803"/>
        <w:gridCol w:w="1799"/>
        <w:gridCol w:w="1804"/>
      </w:tblGrid>
      <w:tr w:rsidR="004C0CD0" w:rsidTr="004C0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hideMark/>
          </w:tcPr>
          <w:p w:rsidR="004C0CD0" w:rsidRDefault="004C0CD0">
            <w:r>
              <w:t>SCHOOL</w:t>
            </w:r>
          </w:p>
        </w:tc>
        <w:tc>
          <w:tcPr>
            <w:tcW w:w="1848" w:type="dxa"/>
            <w:hideMark/>
          </w:tcPr>
          <w:p w:rsidR="004C0CD0" w:rsidRDefault="004C0CD0">
            <w:pPr>
              <w:cnfStyle w:val="100000000000" w:firstRow="1" w:lastRow="0" w:firstColumn="0" w:lastColumn="0" w:oddVBand="0" w:evenVBand="0" w:oddHBand="0" w:evenHBand="0" w:firstRowFirstColumn="0" w:firstRowLastColumn="0" w:lastRowFirstColumn="0" w:lastRowLastColumn="0"/>
            </w:pPr>
            <w:r>
              <w:t>Start Time</w:t>
            </w:r>
          </w:p>
        </w:tc>
        <w:tc>
          <w:tcPr>
            <w:tcW w:w="1848" w:type="dxa"/>
            <w:hideMark/>
          </w:tcPr>
          <w:p w:rsidR="004C0CD0" w:rsidRDefault="004C0CD0">
            <w:pPr>
              <w:cnfStyle w:val="100000000000" w:firstRow="1" w:lastRow="0" w:firstColumn="0" w:lastColumn="0" w:oddVBand="0" w:evenVBand="0" w:oddHBand="0" w:evenHBand="0" w:firstRowFirstColumn="0" w:firstRowLastColumn="0" w:lastRowFirstColumn="0" w:lastRowLastColumn="0"/>
            </w:pPr>
            <w:r>
              <w:t>Finish Time</w:t>
            </w:r>
          </w:p>
        </w:tc>
        <w:tc>
          <w:tcPr>
            <w:tcW w:w="1849" w:type="dxa"/>
            <w:hideMark/>
          </w:tcPr>
          <w:p w:rsidR="004C0CD0" w:rsidRDefault="004C0CD0">
            <w:pPr>
              <w:cnfStyle w:val="100000000000" w:firstRow="1" w:lastRow="0" w:firstColumn="0" w:lastColumn="0" w:oddVBand="0" w:evenVBand="0" w:oddHBand="0" w:evenHBand="0" w:firstRowFirstColumn="0" w:firstRowLastColumn="0" w:lastRowFirstColumn="0" w:lastRowLastColumn="0"/>
            </w:pPr>
            <w:r>
              <w:t>Start Time</w:t>
            </w:r>
          </w:p>
        </w:tc>
        <w:tc>
          <w:tcPr>
            <w:tcW w:w="1849" w:type="dxa"/>
            <w:hideMark/>
          </w:tcPr>
          <w:p w:rsidR="004C0CD0" w:rsidRDefault="004C0CD0">
            <w:pPr>
              <w:cnfStyle w:val="100000000000" w:firstRow="1" w:lastRow="0" w:firstColumn="0" w:lastColumn="0" w:oddVBand="0" w:evenVBand="0" w:oddHBand="0" w:evenHBand="0" w:firstRowFirstColumn="0" w:firstRowLastColumn="0" w:lastRowFirstColumn="0" w:lastRowLastColumn="0"/>
            </w:pPr>
            <w:r>
              <w:t>Finish Time</w:t>
            </w:r>
          </w:p>
        </w:tc>
      </w:tr>
      <w:tr w:rsidR="004C0CD0" w:rsidTr="004C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il"/>
              <w:bottom w:val="nil"/>
            </w:tcBorders>
            <w:hideMark/>
          </w:tcPr>
          <w:p w:rsidR="004C0CD0" w:rsidRDefault="004C0CD0">
            <w:r>
              <w:t>Reception class</w:t>
            </w:r>
          </w:p>
        </w:tc>
        <w:tc>
          <w:tcPr>
            <w:tcW w:w="1848"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08:45</w:t>
            </w:r>
          </w:p>
        </w:tc>
        <w:tc>
          <w:tcPr>
            <w:tcW w:w="1848"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11:40</w:t>
            </w:r>
          </w:p>
        </w:tc>
        <w:tc>
          <w:tcPr>
            <w:tcW w:w="1849"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12:30</w:t>
            </w:r>
          </w:p>
        </w:tc>
        <w:tc>
          <w:tcPr>
            <w:tcW w:w="1849"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15:00</w:t>
            </w:r>
          </w:p>
        </w:tc>
      </w:tr>
      <w:tr w:rsidR="004C0CD0" w:rsidTr="004C0CD0">
        <w:tc>
          <w:tcPr>
            <w:cnfStyle w:val="001000000000" w:firstRow="0" w:lastRow="0" w:firstColumn="1" w:lastColumn="0" w:oddVBand="0" w:evenVBand="0" w:oddHBand="0" w:evenHBand="0" w:firstRowFirstColumn="0" w:firstRowLastColumn="0" w:lastRowFirstColumn="0" w:lastRowLastColumn="0"/>
            <w:tcW w:w="1848" w:type="dxa"/>
            <w:tcBorders>
              <w:top w:val="nil"/>
              <w:left w:val="nil"/>
              <w:bottom w:val="nil"/>
              <w:right w:val="nil"/>
            </w:tcBorders>
          </w:tcPr>
          <w:p w:rsidR="004C0CD0" w:rsidRDefault="004C0CD0"/>
        </w:tc>
        <w:tc>
          <w:tcPr>
            <w:tcW w:w="1848"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1848"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1849"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1849"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r>
      <w:tr w:rsidR="004C0CD0" w:rsidTr="004C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il"/>
              <w:bottom w:val="nil"/>
            </w:tcBorders>
            <w:hideMark/>
          </w:tcPr>
          <w:p w:rsidR="004C0CD0" w:rsidRDefault="004C0CD0">
            <w:r>
              <w:t>Years 1 and 2</w:t>
            </w:r>
          </w:p>
        </w:tc>
        <w:tc>
          <w:tcPr>
            <w:tcW w:w="1848"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08:45</w:t>
            </w:r>
          </w:p>
        </w:tc>
        <w:tc>
          <w:tcPr>
            <w:tcW w:w="1848"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11:45</w:t>
            </w:r>
          </w:p>
        </w:tc>
        <w:tc>
          <w:tcPr>
            <w:tcW w:w="1849"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12:30</w:t>
            </w:r>
          </w:p>
        </w:tc>
        <w:tc>
          <w:tcPr>
            <w:tcW w:w="1849" w:type="dxa"/>
            <w:tcBorders>
              <w:top w:val="nil"/>
              <w:bottom w:val="nil"/>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15:00</w:t>
            </w:r>
          </w:p>
        </w:tc>
      </w:tr>
      <w:tr w:rsidR="004C0CD0" w:rsidTr="004C0CD0">
        <w:tc>
          <w:tcPr>
            <w:cnfStyle w:val="001000000000" w:firstRow="0" w:lastRow="0" w:firstColumn="1" w:lastColumn="0" w:oddVBand="0" w:evenVBand="0" w:oddHBand="0" w:evenHBand="0" w:firstRowFirstColumn="0" w:firstRowLastColumn="0" w:lastRowFirstColumn="0" w:lastRowLastColumn="0"/>
            <w:tcW w:w="1848" w:type="dxa"/>
            <w:tcBorders>
              <w:top w:val="nil"/>
              <w:left w:val="nil"/>
              <w:bottom w:val="nil"/>
              <w:right w:val="nil"/>
            </w:tcBorders>
          </w:tcPr>
          <w:p w:rsidR="004C0CD0" w:rsidRDefault="004C0CD0"/>
        </w:tc>
        <w:tc>
          <w:tcPr>
            <w:tcW w:w="1848"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1848"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1849"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c>
          <w:tcPr>
            <w:tcW w:w="1849" w:type="dxa"/>
            <w:tcBorders>
              <w:top w:val="nil"/>
              <w:left w:val="nil"/>
              <w:bottom w:val="nil"/>
              <w:right w:val="nil"/>
            </w:tcBorders>
          </w:tcPr>
          <w:p w:rsidR="004C0CD0" w:rsidRDefault="004C0CD0">
            <w:pPr>
              <w:cnfStyle w:val="000000000000" w:firstRow="0" w:lastRow="0" w:firstColumn="0" w:lastColumn="0" w:oddVBand="0" w:evenVBand="0" w:oddHBand="0" w:evenHBand="0" w:firstRowFirstColumn="0" w:firstRowLastColumn="0" w:lastRowFirstColumn="0" w:lastRowLastColumn="0"/>
            </w:pPr>
          </w:p>
        </w:tc>
      </w:tr>
      <w:tr w:rsidR="004C0CD0" w:rsidTr="004C0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Borders>
              <w:top w:val="nil"/>
              <w:bottom w:val="single" w:sz="8" w:space="0" w:color="000000" w:themeColor="text1"/>
            </w:tcBorders>
            <w:hideMark/>
          </w:tcPr>
          <w:p w:rsidR="004C0CD0" w:rsidRDefault="004C0CD0">
            <w:r>
              <w:t>Years 3, 4, 5 and 6</w:t>
            </w:r>
          </w:p>
        </w:tc>
        <w:tc>
          <w:tcPr>
            <w:tcW w:w="1848" w:type="dxa"/>
            <w:tcBorders>
              <w:top w:val="nil"/>
              <w:bottom w:val="single" w:sz="8" w:space="0" w:color="000000" w:themeColor="text1"/>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08:45</w:t>
            </w:r>
          </w:p>
        </w:tc>
        <w:tc>
          <w:tcPr>
            <w:tcW w:w="1848" w:type="dxa"/>
            <w:tcBorders>
              <w:top w:val="nil"/>
              <w:bottom w:val="single" w:sz="8" w:space="0" w:color="000000" w:themeColor="text1"/>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12:15</w:t>
            </w:r>
          </w:p>
        </w:tc>
        <w:tc>
          <w:tcPr>
            <w:tcW w:w="1849" w:type="dxa"/>
            <w:tcBorders>
              <w:top w:val="nil"/>
              <w:bottom w:val="single" w:sz="8" w:space="0" w:color="000000" w:themeColor="text1"/>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13:00</w:t>
            </w:r>
          </w:p>
        </w:tc>
        <w:tc>
          <w:tcPr>
            <w:tcW w:w="1849" w:type="dxa"/>
            <w:tcBorders>
              <w:top w:val="nil"/>
              <w:bottom w:val="single" w:sz="8" w:space="0" w:color="000000" w:themeColor="text1"/>
            </w:tcBorders>
            <w:hideMark/>
          </w:tcPr>
          <w:p w:rsidR="004C0CD0" w:rsidRDefault="004C0CD0">
            <w:pPr>
              <w:cnfStyle w:val="000000100000" w:firstRow="0" w:lastRow="0" w:firstColumn="0" w:lastColumn="0" w:oddVBand="0" w:evenVBand="0" w:oddHBand="1" w:evenHBand="0" w:firstRowFirstColumn="0" w:firstRowLastColumn="0" w:lastRowFirstColumn="0" w:lastRowLastColumn="0"/>
            </w:pPr>
            <w:r>
              <w:t>15:00</w:t>
            </w:r>
          </w:p>
        </w:tc>
      </w:tr>
    </w:tbl>
    <w:p w:rsidR="004C0CD0" w:rsidRDefault="004C0CD0" w:rsidP="004C0CD0">
      <w:pPr>
        <w:rPr>
          <w:rFonts w:asciiTheme="minorHAnsi" w:hAnsiTheme="minorHAnsi" w:cstheme="minorBidi"/>
          <w:szCs w:val="22"/>
        </w:rPr>
      </w:pPr>
    </w:p>
    <w:p w:rsidR="004C0CD0" w:rsidRDefault="004C0CD0" w:rsidP="004C0CD0">
      <w:r>
        <w:t>The midday break does not form part of the school day.</w:t>
      </w:r>
    </w:p>
    <w:p w:rsidR="004C0CD0" w:rsidRDefault="004C0CD0" w:rsidP="009048ED">
      <w:pPr>
        <w:pStyle w:val="Default"/>
        <w:rPr>
          <w:b/>
          <w:bCs/>
          <w:sz w:val="22"/>
          <w:szCs w:val="22"/>
        </w:rPr>
      </w:pPr>
    </w:p>
    <w:p w:rsidR="009048ED" w:rsidRDefault="009048ED" w:rsidP="009048ED">
      <w:pPr>
        <w:pStyle w:val="Default"/>
        <w:rPr>
          <w:sz w:val="22"/>
          <w:szCs w:val="22"/>
        </w:rPr>
      </w:pPr>
      <w:r>
        <w:rPr>
          <w:b/>
          <w:bCs/>
          <w:sz w:val="22"/>
          <w:szCs w:val="22"/>
        </w:rPr>
        <w:t xml:space="preserve">Responsibilities </w:t>
      </w:r>
    </w:p>
    <w:p w:rsidR="009048ED" w:rsidRDefault="009048ED" w:rsidP="009048ED">
      <w:pPr>
        <w:pStyle w:val="Default"/>
        <w:rPr>
          <w:sz w:val="22"/>
          <w:szCs w:val="22"/>
        </w:rPr>
      </w:pPr>
      <w:r>
        <w:rPr>
          <w:sz w:val="22"/>
          <w:szCs w:val="22"/>
        </w:rPr>
        <w:t xml:space="preserve">The Headteacher will ensure that staff are familiar with and, correctly apply the policy. The Governing Body will review the policy annually. </w:t>
      </w:r>
    </w:p>
    <w:p w:rsidR="004C0CD0" w:rsidRDefault="004C0CD0" w:rsidP="009048ED">
      <w:pPr>
        <w:pStyle w:val="Default"/>
        <w:rPr>
          <w:b/>
          <w:bCs/>
          <w:sz w:val="22"/>
          <w:szCs w:val="22"/>
        </w:rPr>
      </w:pPr>
    </w:p>
    <w:p w:rsidR="009048ED" w:rsidRDefault="009048ED" w:rsidP="009048ED">
      <w:pPr>
        <w:pStyle w:val="Default"/>
        <w:rPr>
          <w:sz w:val="22"/>
          <w:szCs w:val="22"/>
        </w:rPr>
      </w:pPr>
      <w:r>
        <w:rPr>
          <w:b/>
          <w:bCs/>
          <w:sz w:val="22"/>
          <w:szCs w:val="22"/>
        </w:rPr>
        <w:t xml:space="preserve">Policy statement </w:t>
      </w:r>
    </w:p>
    <w:p w:rsidR="009048ED" w:rsidRDefault="009048ED" w:rsidP="009048ED">
      <w:pPr>
        <w:pStyle w:val="Default"/>
        <w:rPr>
          <w:sz w:val="22"/>
          <w:szCs w:val="22"/>
        </w:rPr>
      </w:pPr>
      <w:r>
        <w:rPr>
          <w:sz w:val="22"/>
          <w:szCs w:val="22"/>
        </w:rPr>
        <w:t xml:space="preserve">During the school day, all activities that are a necessary part of the National Curriculum plus religious education will be provided free of charge. This includes any materials, equipment and transport to take pupils between the school and the activity. It excludes charges made for teaching an individual pupil or groups of up to four pupils to play a musical instrument. </w:t>
      </w:r>
    </w:p>
    <w:p w:rsidR="009048ED" w:rsidRDefault="009048ED" w:rsidP="009048ED">
      <w:pPr>
        <w:pStyle w:val="Default"/>
        <w:rPr>
          <w:sz w:val="22"/>
          <w:szCs w:val="22"/>
        </w:rPr>
      </w:pPr>
      <w:r>
        <w:rPr>
          <w:sz w:val="22"/>
          <w:szCs w:val="22"/>
        </w:rPr>
        <w:t xml:space="preserve">Voluntary contributions may be sought for activities during the school day which entail additional costs, </w:t>
      </w:r>
      <w:proofErr w:type="spellStart"/>
      <w:r>
        <w:rPr>
          <w:sz w:val="22"/>
          <w:szCs w:val="22"/>
        </w:rPr>
        <w:t>ie</w:t>
      </w:r>
      <w:proofErr w:type="spellEnd"/>
      <w:r>
        <w:rPr>
          <w:sz w:val="22"/>
          <w:szCs w:val="22"/>
        </w:rPr>
        <w:t xml:space="preserve">; field trips. In these circumstances no pupil will be prevented from participating because his/her parents/carers cannot or will not make a contribution. If insufficient funds are available it may be necessary to curtail or cancel activities. </w:t>
      </w:r>
    </w:p>
    <w:p w:rsidR="004C0CD0" w:rsidRDefault="004C0CD0" w:rsidP="009048ED">
      <w:pPr>
        <w:pStyle w:val="Default"/>
        <w:rPr>
          <w:b/>
          <w:bCs/>
          <w:sz w:val="22"/>
          <w:szCs w:val="22"/>
        </w:rPr>
      </w:pPr>
    </w:p>
    <w:p w:rsidR="009048ED" w:rsidRDefault="009048ED" w:rsidP="009048ED">
      <w:pPr>
        <w:pStyle w:val="Default"/>
        <w:rPr>
          <w:sz w:val="22"/>
          <w:szCs w:val="22"/>
        </w:rPr>
      </w:pPr>
      <w:r>
        <w:rPr>
          <w:b/>
          <w:bCs/>
          <w:sz w:val="22"/>
          <w:szCs w:val="22"/>
        </w:rPr>
        <w:t xml:space="preserve">Optional activities outside of the school day </w:t>
      </w:r>
    </w:p>
    <w:p w:rsidR="009048ED" w:rsidRDefault="009048ED" w:rsidP="009048ED">
      <w:pPr>
        <w:pStyle w:val="Default"/>
        <w:rPr>
          <w:sz w:val="22"/>
          <w:szCs w:val="22"/>
        </w:rPr>
      </w:pPr>
      <w:r>
        <w:rPr>
          <w:sz w:val="22"/>
          <w:szCs w:val="22"/>
        </w:rPr>
        <w:t xml:space="preserve">We may charge for optional, extra activities provided outside of the school day, </w:t>
      </w:r>
      <w:proofErr w:type="spellStart"/>
      <w:r>
        <w:rPr>
          <w:sz w:val="22"/>
          <w:szCs w:val="22"/>
        </w:rPr>
        <w:t>ie</w:t>
      </w:r>
      <w:proofErr w:type="spellEnd"/>
      <w:r>
        <w:rPr>
          <w:sz w:val="22"/>
          <w:szCs w:val="22"/>
        </w:rPr>
        <w:t xml:space="preserve">; a football </w:t>
      </w:r>
      <w:proofErr w:type="gramStart"/>
      <w:r>
        <w:rPr>
          <w:sz w:val="22"/>
          <w:szCs w:val="22"/>
        </w:rPr>
        <w:t>club</w:t>
      </w:r>
      <w:proofErr w:type="gramEnd"/>
      <w:r>
        <w:rPr>
          <w:sz w:val="22"/>
          <w:szCs w:val="22"/>
        </w:rPr>
        <w:t xml:space="preserve"> or theatre visit. Such activities are neither part of the National Curriculum or religious education, nor are they part of an examination syllabus. </w:t>
      </w:r>
    </w:p>
    <w:p w:rsidR="004C0CD0" w:rsidRDefault="004C0CD0" w:rsidP="009048ED">
      <w:pPr>
        <w:pStyle w:val="Default"/>
        <w:rPr>
          <w:b/>
          <w:bCs/>
          <w:sz w:val="22"/>
          <w:szCs w:val="22"/>
        </w:rPr>
      </w:pPr>
    </w:p>
    <w:p w:rsidR="009048ED" w:rsidRDefault="009048ED" w:rsidP="009048ED">
      <w:pPr>
        <w:pStyle w:val="Default"/>
        <w:rPr>
          <w:sz w:val="22"/>
          <w:szCs w:val="22"/>
        </w:rPr>
      </w:pPr>
      <w:r>
        <w:rPr>
          <w:b/>
          <w:bCs/>
          <w:sz w:val="22"/>
          <w:szCs w:val="22"/>
        </w:rPr>
        <w:t xml:space="preserve">Education partly during the school day </w:t>
      </w:r>
    </w:p>
    <w:p w:rsidR="009048ED" w:rsidRDefault="009048ED" w:rsidP="009048ED">
      <w:pPr>
        <w:pStyle w:val="Default"/>
        <w:rPr>
          <w:sz w:val="22"/>
          <w:szCs w:val="22"/>
        </w:rPr>
      </w:pPr>
      <w:r>
        <w:rPr>
          <w:sz w:val="22"/>
          <w:szCs w:val="22"/>
        </w:rPr>
        <w:t xml:space="preserve">If a non-residential activity happens partly inside the school day and partly outside of it, there will be no charge if most of the time to be spent on the activity falls within the school day. Conversely, if the bigger proportion of time spent falls outside of the normal school day, charges will be made. When such activities are arranged, parents/carers will be told how the charges were calculated. </w:t>
      </w:r>
    </w:p>
    <w:p w:rsidR="004C0CD0" w:rsidRDefault="004C0CD0" w:rsidP="009048ED">
      <w:pPr>
        <w:pStyle w:val="Default"/>
        <w:rPr>
          <w:b/>
          <w:bCs/>
          <w:sz w:val="22"/>
          <w:szCs w:val="22"/>
        </w:rPr>
      </w:pPr>
    </w:p>
    <w:p w:rsidR="009048ED" w:rsidRDefault="009048ED" w:rsidP="009048ED">
      <w:pPr>
        <w:pStyle w:val="Default"/>
        <w:rPr>
          <w:sz w:val="22"/>
          <w:szCs w:val="22"/>
        </w:rPr>
      </w:pPr>
      <w:proofErr w:type="spellStart"/>
      <w:r>
        <w:rPr>
          <w:b/>
          <w:bCs/>
          <w:sz w:val="22"/>
          <w:szCs w:val="22"/>
        </w:rPr>
        <w:lastRenderedPageBreak/>
        <w:t>Residentials</w:t>
      </w:r>
      <w:proofErr w:type="spellEnd"/>
      <w:r>
        <w:rPr>
          <w:b/>
          <w:bCs/>
          <w:sz w:val="22"/>
          <w:szCs w:val="22"/>
        </w:rPr>
        <w:t xml:space="preserve"> </w:t>
      </w:r>
    </w:p>
    <w:p w:rsidR="009048ED" w:rsidRDefault="009048ED" w:rsidP="004C0CD0">
      <w:pPr>
        <w:pStyle w:val="Default"/>
        <w:rPr>
          <w:color w:val="auto"/>
          <w:sz w:val="22"/>
          <w:szCs w:val="22"/>
        </w:rPr>
      </w:pPr>
      <w:r>
        <w:rPr>
          <w:sz w:val="22"/>
          <w:szCs w:val="22"/>
        </w:rPr>
        <w:t>Charges will</w:t>
      </w:r>
      <w:r w:rsidR="004C0CD0">
        <w:rPr>
          <w:sz w:val="22"/>
          <w:szCs w:val="22"/>
        </w:rPr>
        <w:t xml:space="preserve"> be made for board and lodging.  O</w:t>
      </w:r>
      <w:r>
        <w:rPr>
          <w:color w:val="auto"/>
          <w:sz w:val="22"/>
          <w:szCs w:val="22"/>
        </w:rPr>
        <w:t xml:space="preserve">ther charges will be made to cover costs when the number of school sessions missed by the pupils totals half or more of the number of half-days taken up by the activity. In such cases parents/carers will be told how the charges were calculated. </w:t>
      </w:r>
    </w:p>
    <w:p w:rsidR="004C0CD0" w:rsidRDefault="004C0CD0" w:rsidP="009048ED">
      <w:pPr>
        <w:pStyle w:val="Default"/>
        <w:rPr>
          <w:b/>
          <w:bCs/>
          <w:color w:val="auto"/>
          <w:sz w:val="22"/>
          <w:szCs w:val="22"/>
        </w:rPr>
      </w:pPr>
    </w:p>
    <w:p w:rsidR="009048ED" w:rsidRDefault="009048ED" w:rsidP="009048ED">
      <w:pPr>
        <w:pStyle w:val="Default"/>
        <w:rPr>
          <w:color w:val="auto"/>
          <w:sz w:val="22"/>
          <w:szCs w:val="22"/>
        </w:rPr>
      </w:pPr>
      <w:r>
        <w:rPr>
          <w:b/>
          <w:bCs/>
          <w:color w:val="auto"/>
          <w:sz w:val="22"/>
          <w:szCs w:val="22"/>
        </w:rPr>
        <w:t xml:space="preserve">Calculating charges </w:t>
      </w:r>
    </w:p>
    <w:p w:rsidR="009048ED" w:rsidRDefault="009048ED" w:rsidP="009048ED">
      <w:pPr>
        <w:pStyle w:val="Default"/>
        <w:rPr>
          <w:color w:val="auto"/>
          <w:sz w:val="22"/>
          <w:szCs w:val="22"/>
        </w:rPr>
      </w:pPr>
      <w:r>
        <w:rPr>
          <w:color w:val="auto"/>
          <w:sz w:val="22"/>
          <w:szCs w:val="22"/>
        </w:rPr>
        <w:t>When charges are made for any activity, whether during or outside of the school day, they will be based on the actual costs incurred, divided by the total number of pupils participating. There will be no levy on those who can pay to support those who can't or won’t. Support for cases of hardship w</w:t>
      </w:r>
      <w:r w:rsidR="00146B47">
        <w:rPr>
          <w:color w:val="auto"/>
          <w:sz w:val="22"/>
          <w:szCs w:val="22"/>
        </w:rPr>
        <w:t>ill come through Pupil Premium, v</w:t>
      </w:r>
      <w:r>
        <w:rPr>
          <w:color w:val="auto"/>
          <w:sz w:val="22"/>
          <w:szCs w:val="22"/>
        </w:rPr>
        <w:t xml:space="preserve">oluntary contributions and fundraising. </w:t>
      </w:r>
    </w:p>
    <w:p w:rsidR="009048ED" w:rsidRDefault="009048ED" w:rsidP="009048ED">
      <w:pPr>
        <w:pStyle w:val="Default"/>
        <w:rPr>
          <w:color w:val="auto"/>
          <w:sz w:val="22"/>
          <w:szCs w:val="22"/>
        </w:rPr>
      </w:pPr>
      <w:r>
        <w:rPr>
          <w:color w:val="auto"/>
          <w:sz w:val="22"/>
          <w:szCs w:val="22"/>
        </w:rPr>
        <w:t xml:space="preserve">Parents/carers who would qualify for support are those who are in receipt of eligible benefits (see below). </w:t>
      </w:r>
    </w:p>
    <w:p w:rsidR="009048ED" w:rsidRDefault="009048ED" w:rsidP="009048ED">
      <w:pPr>
        <w:pStyle w:val="Default"/>
        <w:rPr>
          <w:color w:val="auto"/>
          <w:sz w:val="22"/>
          <w:szCs w:val="22"/>
        </w:rPr>
      </w:pPr>
      <w:r>
        <w:rPr>
          <w:color w:val="auto"/>
          <w:sz w:val="22"/>
          <w:szCs w:val="22"/>
        </w:rPr>
        <w:t xml:space="preserve">The principles of best value will be applied when planning activities that incur costs to the school and/or charges to parents/carers. </w:t>
      </w:r>
    </w:p>
    <w:p w:rsidR="004C0CD0" w:rsidRDefault="004C0CD0" w:rsidP="009048ED">
      <w:pPr>
        <w:pStyle w:val="Default"/>
        <w:rPr>
          <w:b/>
          <w:bCs/>
          <w:color w:val="auto"/>
          <w:sz w:val="22"/>
          <w:szCs w:val="22"/>
        </w:rPr>
      </w:pPr>
    </w:p>
    <w:p w:rsidR="009048ED" w:rsidRDefault="009048ED" w:rsidP="009048ED">
      <w:pPr>
        <w:pStyle w:val="Default"/>
        <w:rPr>
          <w:color w:val="auto"/>
          <w:sz w:val="22"/>
          <w:szCs w:val="22"/>
        </w:rPr>
      </w:pPr>
      <w:r>
        <w:rPr>
          <w:b/>
          <w:bCs/>
          <w:color w:val="auto"/>
          <w:sz w:val="22"/>
          <w:szCs w:val="22"/>
        </w:rPr>
        <w:t xml:space="preserve">Charges will be made for: </w:t>
      </w:r>
    </w:p>
    <w:p w:rsidR="009048ED" w:rsidRDefault="009048ED" w:rsidP="004C0CD0">
      <w:pPr>
        <w:pStyle w:val="Default"/>
        <w:numPr>
          <w:ilvl w:val="0"/>
          <w:numId w:val="10"/>
        </w:numPr>
        <w:spacing w:after="30"/>
        <w:rPr>
          <w:color w:val="auto"/>
          <w:sz w:val="22"/>
          <w:szCs w:val="22"/>
        </w:rPr>
      </w:pPr>
      <w:r>
        <w:rPr>
          <w:color w:val="auto"/>
          <w:sz w:val="22"/>
          <w:szCs w:val="22"/>
        </w:rPr>
        <w:t xml:space="preserve">Breakages and replacements as a result of damages caused wilfully or negligently by pupils. </w:t>
      </w:r>
    </w:p>
    <w:p w:rsidR="009048ED" w:rsidRDefault="009048ED" w:rsidP="004C0CD0">
      <w:pPr>
        <w:pStyle w:val="Default"/>
        <w:numPr>
          <w:ilvl w:val="0"/>
          <w:numId w:val="10"/>
        </w:numPr>
        <w:spacing w:after="30"/>
        <w:rPr>
          <w:color w:val="auto"/>
          <w:sz w:val="22"/>
          <w:szCs w:val="22"/>
        </w:rPr>
      </w:pPr>
      <w:r>
        <w:rPr>
          <w:color w:val="auto"/>
          <w:sz w:val="22"/>
          <w:szCs w:val="22"/>
        </w:rPr>
        <w:t xml:space="preserve">Damage/vandalism/loss to and of school property. </w:t>
      </w:r>
    </w:p>
    <w:p w:rsidR="009048ED" w:rsidRDefault="009048ED" w:rsidP="004C0CD0">
      <w:pPr>
        <w:pStyle w:val="Default"/>
        <w:numPr>
          <w:ilvl w:val="0"/>
          <w:numId w:val="10"/>
        </w:numPr>
        <w:spacing w:after="30"/>
        <w:rPr>
          <w:color w:val="auto"/>
          <w:sz w:val="22"/>
          <w:szCs w:val="22"/>
        </w:rPr>
      </w:pPr>
      <w:r>
        <w:rPr>
          <w:color w:val="auto"/>
          <w:sz w:val="22"/>
          <w:szCs w:val="22"/>
        </w:rPr>
        <w:t xml:space="preserve">Community Use / Lettings (arrangements for the letting of the school’s premises and charges are contained in the Letting Policy. </w:t>
      </w:r>
    </w:p>
    <w:p w:rsidR="009048ED" w:rsidRDefault="009048ED" w:rsidP="004C0CD0">
      <w:pPr>
        <w:pStyle w:val="Default"/>
        <w:numPr>
          <w:ilvl w:val="0"/>
          <w:numId w:val="10"/>
        </w:numPr>
        <w:rPr>
          <w:color w:val="auto"/>
          <w:sz w:val="22"/>
          <w:szCs w:val="22"/>
        </w:rPr>
      </w:pPr>
      <w:r>
        <w:rPr>
          <w:color w:val="auto"/>
          <w:sz w:val="22"/>
          <w:szCs w:val="22"/>
        </w:rPr>
        <w:t>School dinners (where applicable) – currently available at £1.</w:t>
      </w:r>
      <w:r w:rsidR="00146B47">
        <w:rPr>
          <w:color w:val="auto"/>
          <w:sz w:val="22"/>
          <w:szCs w:val="22"/>
        </w:rPr>
        <w:t>70 per day.</w:t>
      </w:r>
      <w:r>
        <w:rPr>
          <w:color w:val="auto"/>
          <w:sz w:val="22"/>
          <w:szCs w:val="22"/>
        </w:rPr>
        <w:t xml:space="preserve"> </w:t>
      </w:r>
    </w:p>
    <w:p w:rsidR="009048ED" w:rsidRDefault="009048ED" w:rsidP="009048ED">
      <w:pPr>
        <w:pStyle w:val="Default"/>
        <w:rPr>
          <w:color w:val="auto"/>
          <w:sz w:val="22"/>
          <w:szCs w:val="22"/>
        </w:rPr>
      </w:pPr>
    </w:p>
    <w:p w:rsidR="009048ED" w:rsidRDefault="009048ED" w:rsidP="009048ED">
      <w:pPr>
        <w:pStyle w:val="Default"/>
        <w:rPr>
          <w:color w:val="auto"/>
          <w:sz w:val="22"/>
          <w:szCs w:val="22"/>
        </w:rPr>
      </w:pPr>
      <w:r>
        <w:rPr>
          <w:color w:val="auto"/>
          <w:sz w:val="22"/>
          <w:szCs w:val="22"/>
        </w:rPr>
        <w:t xml:space="preserve">No remissions apply to these charges. </w:t>
      </w:r>
    </w:p>
    <w:p w:rsidR="004C0CD0" w:rsidRDefault="004C0CD0" w:rsidP="009048ED">
      <w:pPr>
        <w:pStyle w:val="Default"/>
        <w:rPr>
          <w:b/>
          <w:bCs/>
          <w:color w:val="auto"/>
          <w:sz w:val="22"/>
          <w:szCs w:val="22"/>
        </w:rPr>
      </w:pPr>
    </w:p>
    <w:p w:rsidR="009048ED" w:rsidRDefault="009048ED" w:rsidP="009048ED">
      <w:pPr>
        <w:pStyle w:val="Default"/>
        <w:rPr>
          <w:color w:val="auto"/>
          <w:sz w:val="22"/>
          <w:szCs w:val="22"/>
        </w:rPr>
      </w:pPr>
      <w:r>
        <w:rPr>
          <w:b/>
          <w:bCs/>
          <w:color w:val="auto"/>
          <w:sz w:val="22"/>
          <w:szCs w:val="22"/>
        </w:rPr>
        <w:t xml:space="preserve">Music Tuition </w:t>
      </w:r>
    </w:p>
    <w:p w:rsidR="009048ED" w:rsidRDefault="009048ED" w:rsidP="009048ED">
      <w:pPr>
        <w:pStyle w:val="Default"/>
        <w:rPr>
          <w:color w:val="auto"/>
          <w:sz w:val="22"/>
          <w:szCs w:val="22"/>
        </w:rPr>
      </w:pPr>
      <w:r>
        <w:rPr>
          <w:color w:val="auto"/>
          <w:sz w:val="22"/>
          <w:szCs w:val="22"/>
        </w:rPr>
        <w:t xml:space="preserve">In cases of hardship the governors will consider in their absolute </w:t>
      </w:r>
      <w:r w:rsidR="00146B47">
        <w:rPr>
          <w:color w:val="auto"/>
          <w:sz w:val="22"/>
          <w:szCs w:val="22"/>
        </w:rPr>
        <w:t>discretion,</w:t>
      </w:r>
      <w:r>
        <w:rPr>
          <w:color w:val="auto"/>
          <w:sz w:val="22"/>
          <w:szCs w:val="22"/>
        </w:rPr>
        <w:t xml:space="preserve"> the remission of fees (either in full or in part) for those pupils who they consider will benefit from such tuition. </w:t>
      </w:r>
    </w:p>
    <w:p w:rsidR="004C0CD0" w:rsidRDefault="004C0CD0" w:rsidP="009048ED">
      <w:pPr>
        <w:pStyle w:val="Default"/>
        <w:rPr>
          <w:b/>
          <w:bCs/>
          <w:color w:val="auto"/>
          <w:sz w:val="22"/>
          <w:szCs w:val="22"/>
        </w:rPr>
      </w:pPr>
    </w:p>
    <w:p w:rsidR="009048ED" w:rsidRDefault="009048ED" w:rsidP="009048ED">
      <w:pPr>
        <w:pStyle w:val="Default"/>
        <w:rPr>
          <w:color w:val="auto"/>
          <w:sz w:val="22"/>
          <w:szCs w:val="22"/>
        </w:rPr>
      </w:pPr>
      <w:r>
        <w:rPr>
          <w:b/>
          <w:bCs/>
          <w:color w:val="auto"/>
          <w:sz w:val="22"/>
          <w:szCs w:val="22"/>
        </w:rPr>
        <w:t xml:space="preserve">Eligible benefits </w:t>
      </w:r>
    </w:p>
    <w:p w:rsidR="009048ED" w:rsidRDefault="009048ED" w:rsidP="004C0CD0">
      <w:pPr>
        <w:pStyle w:val="Default"/>
        <w:numPr>
          <w:ilvl w:val="0"/>
          <w:numId w:val="8"/>
        </w:numPr>
        <w:spacing w:after="30"/>
        <w:rPr>
          <w:color w:val="auto"/>
          <w:sz w:val="22"/>
          <w:szCs w:val="22"/>
        </w:rPr>
      </w:pPr>
      <w:r>
        <w:rPr>
          <w:color w:val="auto"/>
          <w:sz w:val="22"/>
          <w:szCs w:val="22"/>
        </w:rPr>
        <w:t xml:space="preserve">Income Support. </w:t>
      </w:r>
    </w:p>
    <w:p w:rsidR="009048ED" w:rsidRDefault="009048ED" w:rsidP="004C0CD0">
      <w:pPr>
        <w:pStyle w:val="Default"/>
        <w:numPr>
          <w:ilvl w:val="0"/>
          <w:numId w:val="8"/>
        </w:numPr>
        <w:spacing w:after="30"/>
        <w:rPr>
          <w:color w:val="auto"/>
          <w:sz w:val="22"/>
          <w:szCs w:val="22"/>
        </w:rPr>
      </w:pPr>
      <w:r>
        <w:rPr>
          <w:color w:val="auto"/>
          <w:sz w:val="22"/>
          <w:szCs w:val="22"/>
        </w:rPr>
        <w:t xml:space="preserve">Income-based Jobseeker’s Allowance. </w:t>
      </w:r>
    </w:p>
    <w:p w:rsidR="009048ED" w:rsidRDefault="009048ED" w:rsidP="004C0CD0">
      <w:pPr>
        <w:pStyle w:val="Default"/>
        <w:numPr>
          <w:ilvl w:val="0"/>
          <w:numId w:val="8"/>
        </w:numPr>
        <w:spacing w:after="30"/>
        <w:rPr>
          <w:color w:val="auto"/>
          <w:sz w:val="22"/>
          <w:szCs w:val="22"/>
        </w:rPr>
      </w:pPr>
      <w:r>
        <w:rPr>
          <w:color w:val="auto"/>
          <w:sz w:val="22"/>
          <w:szCs w:val="22"/>
        </w:rPr>
        <w:t xml:space="preserve">Pension Credit (Guarantee Credit). </w:t>
      </w:r>
    </w:p>
    <w:p w:rsidR="009048ED" w:rsidRDefault="009048ED" w:rsidP="004C0CD0">
      <w:pPr>
        <w:pStyle w:val="Default"/>
        <w:numPr>
          <w:ilvl w:val="0"/>
          <w:numId w:val="8"/>
        </w:numPr>
        <w:spacing w:after="30"/>
        <w:rPr>
          <w:color w:val="auto"/>
          <w:sz w:val="22"/>
          <w:szCs w:val="22"/>
        </w:rPr>
      </w:pPr>
      <w:r>
        <w:rPr>
          <w:color w:val="auto"/>
          <w:sz w:val="22"/>
          <w:szCs w:val="22"/>
        </w:rPr>
        <w:t xml:space="preserve">Employment and Support Allowance (Income Based). </w:t>
      </w:r>
    </w:p>
    <w:p w:rsidR="009048ED" w:rsidRDefault="009048ED" w:rsidP="004C0CD0">
      <w:pPr>
        <w:pStyle w:val="Default"/>
        <w:numPr>
          <w:ilvl w:val="0"/>
          <w:numId w:val="8"/>
        </w:numPr>
        <w:spacing w:after="30"/>
        <w:rPr>
          <w:color w:val="auto"/>
          <w:sz w:val="22"/>
          <w:szCs w:val="22"/>
        </w:rPr>
      </w:pPr>
      <w:r>
        <w:rPr>
          <w:color w:val="auto"/>
          <w:sz w:val="22"/>
          <w:szCs w:val="22"/>
        </w:rPr>
        <w:t xml:space="preserve">Child Tax Credit (but </w:t>
      </w:r>
      <w:r>
        <w:rPr>
          <w:b/>
          <w:bCs/>
          <w:color w:val="auto"/>
          <w:sz w:val="22"/>
          <w:szCs w:val="22"/>
        </w:rPr>
        <w:t xml:space="preserve">NOT </w:t>
      </w:r>
      <w:r>
        <w:rPr>
          <w:color w:val="auto"/>
          <w:sz w:val="22"/>
          <w:szCs w:val="22"/>
        </w:rPr>
        <w:t xml:space="preserve">Working Tax Credit) and an annual income less than £16,190.00. </w:t>
      </w:r>
    </w:p>
    <w:p w:rsidR="009048ED" w:rsidRDefault="009048ED" w:rsidP="004C0CD0">
      <w:pPr>
        <w:pStyle w:val="Default"/>
        <w:numPr>
          <w:ilvl w:val="0"/>
          <w:numId w:val="8"/>
        </w:numPr>
        <w:rPr>
          <w:color w:val="auto"/>
          <w:sz w:val="22"/>
          <w:szCs w:val="22"/>
        </w:rPr>
      </w:pPr>
      <w:r>
        <w:rPr>
          <w:color w:val="auto"/>
          <w:sz w:val="22"/>
          <w:szCs w:val="22"/>
        </w:rPr>
        <w:t xml:space="preserve">Support under Part VI of the Immigration and Asylum Act 1999. </w:t>
      </w:r>
    </w:p>
    <w:p w:rsidR="009048ED" w:rsidRDefault="009048ED" w:rsidP="009048ED">
      <w:pPr>
        <w:pStyle w:val="Default"/>
        <w:rPr>
          <w:color w:val="auto"/>
          <w:sz w:val="22"/>
          <w:szCs w:val="22"/>
        </w:rPr>
      </w:pPr>
    </w:p>
    <w:p w:rsidR="009048ED" w:rsidRDefault="009048ED" w:rsidP="009048ED">
      <w:r>
        <w:rPr>
          <w:szCs w:val="22"/>
        </w:rPr>
        <w:t>This policy will be reviewed every three years, or earlier if necessary.</w:t>
      </w:r>
    </w:p>
    <w:sectPr w:rsidR="00904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1B22511C">
      <w:start w:val="1"/>
      <w:numFmt w:val="bullet"/>
      <w:lvlText w:val="o"/>
      <w:lvlJc w:val="left"/>
      <w:pPr>
        <w:ind w:left="720" w:hanging="360"/>
      </w:pPr>
      <w:rPr>
        <w:rFonts w:ascii="Courier New" w:hAnsi="Courier New"/>
        <w:b w:val="0"/>
        <w:bCs w:val="0"/>
      </w:rPr>
    </w:lvl>
    <w:lvl w:ilvl="1" w:tplc="0C50CFE2">
      <w:start w:val="1"/>
      <w:numFmt w:val="bullet"/>
      <w:lvlText w:val="o"/>
      <w:lvlJc w:val="left"/>
      <w:pPr>
        <w:tabs>
          <w:tab w:val="num" w:pos="1440"/>
        </w:tabs>
        <w:ind w:left="1440" w:hanging="360"/>
      </w:pPr>
      <w:rPr>
        <w:rFonts w:ascii="Courier New" w:hAnsi="Courier New"/>
      </w:rPr>
    </w:lvl>
    <w:lvl w:ilvl="2" w:tplc="8BDACD7C">
      <w:start w:val="1"/>
      <w:numFmt w:val="bullet"/>
      <w:lvlText w:val=""/>
      <w:lvlJc w:val="left"/>
      <w:pPr>
        <w:tabs>
          <w:tab w:val="num" w:pos="2160"/>
        </w:tabs>
        <w:ind w:left="2160" w:hanging="360"/>
      </w:pPr>
      <w:rPr>
        <w:rFonts w:ascii="Wingdings" w:hAnsi="Wingdings"/>
      </w:rPr>
    </w:lvl>
    <w:lvl w:ilvl="3" w:tplc="8DDA4F8E">
      <w:start w:val="1"/>
      <w:numFmt w:val="bullet"/>
      <w:lvlText w:val=""/>
      <w:lvlJc w:val="left"/>
      <w:pPr>
        <w:tabs>
          <w:tab w:val="num" w:pos="2880"/>
        </w:tabs>
        <w:ind w:left="2880" w:hanging="360"/>
      </w:pPr>
      <w:rPr>
        <w:rFonts w:ascii="Symbol" w:hAnsi="Symbol"/>
      </w:rPr>
    </w:lvl>
    <w:lvl w:ilvl="4" w:tplc="9092CE60">
      <w:start w:val="1"/>
      <w:numFmt w:val="bullet"/>
      <w:lvlText w:val="o"/>
      <w:lvlJc w:val="left"/>
      <w:pPr>
        <w:tabs>
          <w:tab w:val="num" w:pos="3600"/>
        </w:tabs>
        <w:ind w:left="3600" w:hanging="360"/>
      </w:pPr>
      <w:rPr>
        <w:rFonts w:ascii="Courier New" w:hAnsi="Courier New"/>
      </w:rPr>
    </w:lvl>
    <w:lvl w:ilvl="5" w:tplc="F724A2B6">
      <w:start w:val="1"/>
      <w:numFmt w:val="bullet"/>
      <w:lvlText w:val=""/>
      <w:lvlJc w:val="left"/>
      <w:pPr>
        <w:tabs>
          <w:tab w:val="num" w:pos="4320"/>
        </w:tabs>
        <w:ind w:left="4320" w:hanging="360"/>
      </w:pPr>
      <w:rPr>
        <w:rFonts w:ascii="Wingdings" w:hAnsi="Wingdings"/>
      </w:rPr>
    </w:lvl>
    <w:lvl w:ilvl="6" w:tplc="9ACAA4C0">
      <w:start w:val="1"/>
      <w:numFmt w:val="bullet"/>
      <w:lvlText w:val=""/>
      <w:lvlJc w:val="left"/>
      <w:pPr>
        <w:tabs>
          <w:tab w:val="num" w:pos="5040"/>
        </w:tabs>
        <w:ind w:left="5040" w:hanging="360"/>
      </w:pPr>
      <w:rPr>
        <w:rFonts w:ascii="Symbol" w:hAnsi="Symbol"/>
      </w:rPr>
    </w:lvl>
    <w:lvl w:ilvl="7" w:tplc="F43E877A">
      <w:start w:val="1"/>
      <w:numFmt w:val="bullet"/>
      <w:lvlText w:val="o"/>
      <w:lvlJc w:val="left"/>
      <w:pPr>
        <w:tabs>
          <w:tab w:val="num" w:pos="5760"/>
        </w:tabs>
        <w:ind w:left="5760" w:hanging="360"/>
      </w:pPr>
      <w:rPr>
        <w:rFonts w:ascii="Courier New" w:hAnsi="Courier New"/>
      </w:rPr>
    </w:lvl>
    <w:lvl w:ilvl="8" w:tplc="DDC09718">
      <w:start w:val="1"/>
      <w:numFmt w:val="bullet"/>
      <w:lvlText w:val=""/>
      <w:lvlJc w:val="left"/>
      <w:pPr>
        <w:tabs>
          <w:tab w:val="num" w:pos="6480"/>
        </w:tabs>
        <w:ind w:left="6480" w:hanging="360"/>
      </w:pPr>
      <w:rPr>
        <w:rFonts w:ascii="Wingdings" w:hAnsi="Wingdings"/>
      </w:rPr>
    </w:lvl>
  </w:abstractNum>
  <w:abstractNum w:abstractNumId="1" w15:restartNumberingAfterBreak="0">
    <w:nsid w:val="038536C3"/>
    <w:multiLevelType w:val="hybridMultilevel"/>
    <w:tmpl w:val="BFAC9AD4"/>
    <w:lvl w:ilvl="0" w:tplc="BD4CC4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214D19"/>
    <w:multiLevelType w:val="hybridMultilevel"/>
    <w:tmpl w:val="F23C867E"/>
    <w:lvl w:ilvl="0" w:tplc="268040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F4F7C"/>
    <w:multiLevelType w:val="hybridMultilevel"/>
    <w:tmpl w:val="F70E5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F41AD8"/>
    <w:multiLevelType w:val="hybridMultilevel"/>
    <w:tmpl w:val="1BEE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F245D"/>
    <w:multiLevelType w:val="hybridMultilevel"/>
    <w:tmpl w:val="6C4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64F72"/>
    <w:multiLevelType w:val="hybridMultilevel"/>
    <w:tmpl w:val="3C00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23904"/>
    <w:multiLevelType w:val="hybridMultilevel"/>
    <w:tmpl w:val="02D02B4C"/>
    <w:lvl w:ilvl="0" w:tplc="2318C1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pStyle w:val="TOC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71384F44"/>
    <w:multiLevelType w:val="hybridMultilevel"/>
    <w:tmpl w:val="6AA6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8"/>
  </w:num>
  <w:num w:numId="6">
    <w:abstractNumId w:val="0"/>
  </w:num>
  <w:num w:numId="7">
    <w:abstractNumId w:val="3"/>
  </w:num>
  <w:num w:numId="8">
    <w:abstractNumId w:val="6"/>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4E"/>
    <w:rsid w:val="00146B47"/>
    <w:rsid w:val="00283742"/>
    <w:rsid w:val="003C524E"/>
    <w:rsid w:val="004C0CD0"/>
    <w:rsid w:val="00633892"/>
    <w:rsid w:val="006820E3"/>
    <w:rsid w:val="00747524"/>
    <w:rsid w:val="009048ED"/>
    <w:rsid w:val="00947D69"/>
    <w:rsid w:val="009C394E"/>
    <w:rsid w:val="00A03C1E"/>
    <w:rsid w:val="00B00C9C"/>
    <w:rsid w:val="00C82B11"/>
    <w:rsid w:val="00CA248B"/>
    <w:rsid w:val="00D42FCD"/>
    <w:rsid w:val="00E32760"/>
    <w:rsid w:val="00E6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1B68C-84D3-49C2-8940-7024A0D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94E"/>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94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C394E"/>
    <w:rPr>
      <w:rFonts w:ascii="Tahoma" w:hAnsi="Tahoma" w:cs="Tahoma"/>
      <w:sz w:val="16"/>
      <w:szCs w:val="16"/>
    </w:rPr>
  </w:style>
  <w:style w:type="character" w:customStyle="1" w:styleId="BalloonTextChar">
    <w:name w:val="Balloon Text Char"/>
    <w:basedOn w:val="DefaultParagraphFont"/>
    <w:link w:val="BalloonText"/>
    <w:uiPriority w:val="99"/>
    <w:semiHidden/>
    <w:rsid w:val="009C394E"/>
    <w:rPr>
      <w:rFonts w:ascii="Tahoma" w:eastAsia="Times New Roman" w:hAnsi="Tahoma" w:cs="Tahoma"/>
      <w:sz w:val="16"/>
      <w:szCs w:val="16"/>
    </w:rPr>
  </w:style>
  <w:style w:type="paragraph" w:styleId="ListParagraph">
    <w:name w:val="List Paragraph"/>
    <w:basedOn w:val="Normal"/>
    <w:uiPriority w:val="34"/>
    <w:qFormat/>
    <w:rsid w:val="006820E3"/>
    <w:pPr>
      <w:widowControl w:val="0"/>
      <w:ind w:left="720"/>
      <w:contextualSpacing/>
    </w:pPr>
    <w:rPr>
      <w:rFonts w:asciiTheme="minorHAnsi" w:eastAsiaTheme="minorHAnsi" w:hAnsiTheme="minorHAnsi" w:cstheme="minorBidi"/>
      <w:szCs w:val="22"/>
      <w:lang w:val="en-US"/>
    </w:rPr>
  </w:style>
  <w:style w:type="table" w:customStyle="1" w:styleId="LightShading1">
    <w:name w:val="Light Shading1"/>
    <w:basedOn w:val="TableNormal"/>
    <w:uiPriority w:val="60"/>
    <w:rsid w:val="00904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semiHidden/>
    <w:unhideWhenUsed/>
    <w:qFormat/>
    <w:rsid w:val="009048ED"/>
    <w:pPr>
      <w:numPr>
        <w:numId w:val="5"/>
      </w:numPr>
      <w:tabs>
        <w:tab w:val="right" w:leader="dot" w:pos="9338"/>
      </w:tabs>
      <w:spacing w:before="120" w:after="120"/>
      <w:ind w:left="0" w:firstLine="0"/>
    </w:pPr>
    <w:rPr>
      <w:rFonts w:eastAsia="MS Mincho"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95236">
      <w:bodyDiv w:val="1"/>
      <w:marLeft w:val="0"/>
      <w:marRight w:val="0"/>
      <w:marTop w:val="0"/>
      <w:marBottom w:val="0"/>
      <w:divBdr>
        <w:top w:val="none" w:sz="0" w:space="0" w:color="auto"/>
        <w:left w:val="none" w:sz="0" w:space="0" w:color="auto"/>
        <w:bottom w:val="none" w:sz="0" w:space="0" w:color="auto"/>
        <w:right w:val="none" w:sz="0" w:space="0" w:color="auto"/>
      </w:divBdr>
    </w:div>
    <w:div w:id="1482235443">
      <w:bodyDiv w:val="1"/>
      <w:marLeft w:val="0"/>
      <w:marRight w:val="0"/>
      <w:marTop w:val="0"/>
      <w:marBottom w:val="0"/>
      <w:divBdr>
        <w:top w:val="none" w:sz="0" w:space="0" w:color="auto"/>
        <w:left w:val="none" w:sz="0" w:space="0" w:color="auto"/>
        <w:bottom w:val="none" w:sz="0" w:space="0" w:color="auto"/>
        <w:right w:val="none" w:sz="0" w:space="0" w:color="auto"/>
      </w:divBdr>
    </w:div>
    <w:div w:id="1888880263">
      <w:bodyDiv w:val="1"/>
      <w:marLeft w:val="0"/>
      <w:marRight w:val="0"/>
      <w:marTop w:val="0"/>
      <w:marBottom w:val="0"/>
      <w:divBdr>
        <w:top w:val="none" w:sz="0" w:space="0" w:color="auto"/>
        <w:left w:val="none" w:sz="0" w:space="0" w:color="auto"/>
        <w:bottom w:val="none" w:sz="0" w:space="0" w:color="auto"/>
        <w:right w:val="none" w:sz="0" w:space="0" w:color="auto"/>
      </w:divBdr>
    </w:div>
    <w:div w:id="20195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Ceinwn Lodge</cp:lastModifiedBy>
  <cp:revision>2</cp:revision>
  <cp:lastPrinted>2018-02-21T10:36:00Z</cp:lastPrinted>
  <dcterms:created xsi:type="dcterms:W3CDTF">2019-03-06T09:11:00Z</dcterms:created>
  <dcterms:modified xsi:type="dcterms:W3CDTF">2019-03-06T09:11:00Z</dcterms:modified>
</cp:coreProperties>
</file>